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276"/>
        <w:gridCol w:w="1276"/>
        <w:gridCol w:w="2693"/>
      </w:tblGrid>
      <w:tr w:rsidR="00246CF5" w:rsidRPr="003145D0" w:rsidTr="00CD71DE">
        <w:tc>
          <w:tcPr>
            <w:tcW w:w="10207" w:type="dxa"/>
            <w:gridSpan w:val="5"/>
            <w:shd w:val="clear" w:color="auto" w:fill="0070C0"/>
          </w:tcPr>
          <w:p w:rsidR="001460BE" w:rsidRPr="003145D0" w:rsidRDefault="001460BE" w:rsidP="003145D0">
            <w:pPr>
              <w:rPr>
                <w:rFonts w:cs="Arial"/>
                <w:b/>
                <w:color w:val="FFFFFF"/>
              </w:rPr>
            </w:pPr>
            <w:bookmarkStart w:id="0" w:name="_GoBack"/>
            <w:bookmarkEnd w:id="0"/>
          </w:p>
          <w:p w:rsidR="001460BE" w:rsidRPr="003145D0" w:rsidRDefault="00EA3063" w:rsidP="003145D0">
            <w:pPr>
              <w:jc w:val="center"/>
              <w:rPr>
                <w:rFonts w:cs="Arial"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LNWUHT HARROW OSC BRIEFING</w:t>
            </w:r>
          </w:p>
          <w:p w:rsidR="001460BE" w:rsidRPr="003145D0" w:rsidRDefault="001460BE" w:rsidP="003145D0">
            <w:pPr>
              <w:rPr>
                <w:rFonts w:cs="Arial"/>
                <w:b/>
                <w:color w:val="FFFFFF"/>
              </w:rPr>
            </w:pPr>
          </w:p>
        </w:tc>
      </w:tr>
      <w:tr w:rsidR="00CD71DE" w:rsidRPr="003145D0" w:rsidTr="00E97BCE">
        <w:trPr>
          <w:trHeight w:val="838"/>
        </w:trPr>
        <w:tc>
          <w:tcPr>
            <w:tcW w:w="6238" w:type="dxa"/>
            <w:gridSpan w:val="3"/>
          </w:tcPr>
          <w:p w:rsidR="00CD71DE" w:rsidRPr="003145D0" w:rsidRDefault="00CD71DE" w:rsidP="003145D0">
            <w:pPr>
              <w:ind w:left="34"/>
              <w:rPr>
                <w:rFonts w:cs="Arial"/>
                <w:b/>
              </w:rPr>
            </w:pPr>
          </w:p>
          <w:p w:rsidR="00CD71DE" w:rsidRPr="003145D0" w:rsidRDefault="00CD71DE" w:rsidP="003145D0">
            <w:pPr>
              <w:rPr>
                <w:rFonts w:cs="Arial"/>
              </w:rPr>
            </w:pPr>
            <w:r w:rsidRPr="003145D0">
              <w:rPr>
                <w:rFonts w:cs="Arial"/>
                <w:b/>
              </w:rPr>
              <w:t xml:space="preserve">Date of Meeting: </w:t>
            </w:r>
            <w:r w:rsidR="002E6C27">
              <w:rPr>
                <w:rFonts w:cs="Arial"/>
              </w:rPr>
              <w:t>15</w:t>
            </w:r>
            <w:r w:rsidR="002E6C27" w:rsidRPr="002E6C27">
              <w:rPr>
                <w:rFonts w:cs="Arial"/>
                <w:vertAlign w:val="superscript"/>
              </w:rPr>
              <w:t>th</w:t>
            </w:r>
            <w:r w:rsidR="002E6C27">
              <w:rPr>
                <w:rFonts w:cs="Arial"/>
              </w:rPr>
              <w:t xml:space="preserve"> October 18</w:t>
            </w:r>
          </w:p>
          <w:p w:rsidR="00CD71DE" w:rsidRPr="003145D0" w:rsidRDefault="00CD71DE" w:rsidP="003145D0">
            <w:pPr>
              <w:ind w:left="34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D71DE" w:rsidRPr="003145D0" w:rsidRDefault="00CD71DE" w:rsidP="003145D0">
            <w:pPr>
              <w:rPr>
                <w:rFonts w:cs="Arial"/>
                <w:b/>
              </w:rPr>
            </w:pPr>
          </w:p>
          <w:p w:rsidR="00CD71DE" w:rsidRPr="003145D0" w:rsidRDefault="00CD71DE" w:rsidP="003145D0">
            <w:pPr>
              <w:rPr>
                <w:rFonts w:cs="Arial"/>
                <w:b/>
              </w:rPr>
            </w:pPr>
          </w:p>
          <w:p w:rsidR="00CD71DE" w:rsidRPr="003145D0" w:rsidRDefault="00CD71DE" w:rsidP="003145D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CD71DE" w:rsidRPr="003145D0" w:rsidRDefault="00CD71DE" w:rsidP="003145D0">
            <w:pPr>
              <w:rPr>
                <w:rFonts w:cs="Arial"/>
                <w:b/>
              </w:rPr>
            </w:pPr>
          </w:p>
          <w:p w:rsidR="00CD71DE" w:rsidRPr="003145D0" w:rsidRDefault="00CD71DE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145D0">
              <w:rPr>
                <w:rFonts w:cs="Arial"/>
                <w:b/>
              </w:rPr>
              <w:instrText xml:space="preserve"> FORMCHECKBOX </w:instrText>
            </w:r>
            <w:r w:rsidR="00C33C88">
              <w:rPr>
                <w:rFonts w:cs="Arial"/>
                <w:b/>
              </w:rPr>
            </w:r>
            <w:r w:rsidR="00C33C88">
              <w:rPr>
                <w:rFonts w:cs="Arial"/>
                <w:b/>
              </w:rPr>
              <w:fldChar w:fldCharType="separate"/>
            </w:r>
            <w:r w:rsidRPr="003145D0">
              <w:rPr>
                <w:rFonts w:cs="Arial"/>
                <w:b/>
              </w:rPr>
              <w:fldChar w:fldCharType="end"/>
            </w:r>
            <w:bookmarkEnd w:id="1"/>
            <w:r w:rsidR="002E6C27">
              <w:rPr>
                <w:rFonts w:cs="Arial"/>
                <w:b/>
              </w:rPr>
              <w:t xml:space="preserve"> Overview and Scrutiny Committee</w:t>
            </w:r>
            <w:r w:rsidRPr="003145D0">
              <w:rPr>
                <w:rFonts w:cs="Arial"/>
                <w:b/>
              </w:rPr>
              <w:t xml:space="preserve"> </w:t>
            </w:r>
          </w:p>
          <w:p w:rsidR="00CD71DE" w:rsidRPr="003145D0" w:rsidRDefault="00CD71DE" w:rsidP="003145D0">
            <w:pPr>
              <w:rPr>
                <w:rFonts w:cs="Arial"/>
                <w:b/>
              </w:rPr>
            </w:pPr>
          </w:p>
        </w:tc>
      </w:tr>
      <w:tr w:rsidR="00CD71DE" w:rsidRPr="003145D0" w:rsidTr="00E97BCE">
        <w:trPr>
          <w:trHeight w:val="1146"/>
        </w:trPr>
        <w:tc>
          <w:tcPr>
            <w:tcW w:w="3119" w:type="dxa"/>
          </w:tcPr>
          <w:p w:rsidR="00CD71DE" w:rsidRPr="003145D0" w:rsidRDefault="00CD71DE" w:rsidP="003145D0">
            <w:pPr>
              <w:rPr>
                <w:rFonts w:cs="Arial"/>
                <w:b/>
              </w:rPr>
            </w:pPr>
          </w:p>
          <w:p w:rsidR="00617B64" w:rsidRPr="003145D0" w:rsidRDefault="00617B64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>Item No.</w:t>
            </w:r>
          </w:p>
          <w:p w:rsidR="00617B64" w:rsidRPr="003145D0" w:rsidRDefault="00617B64" w:rsidP="003145D0">
            <w:pPr>
              <w:rPr>
                <w:rFonts w:cs="Arial"/>
                <w:b/>
              </w:rPr>
            </w:pPr>
          </w:p>
          <w:p w:rsidR="00CD71DE" w:rsidRPr="003145D0" w:rsidRDefault="00CD71DE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>Board Report No.</w:t>
            </w:r>
          </w:p>
          <w:p w:rsidR="00617B64" w:rsidRPr="003145D0" w:rsidRDefault="00617B64" w:rsidP="003145D0">
            <w:pPr>
              <w:rPr>
                <w:rFonts w:cs="Arial"/>
              </w:rPr>
            </w:pPr>
          </w:p>
        </w:tc>
        <w:tc>
          <w:tcPr>
            <w:tcW w:w="3119" w:type="dxa"/>
            <w:gridSpan w:val="2"/>
          </w:tcPr>
          <w:p w:rsidR="00CD71DE" w:rsidRPr="003145D0" w:rsidRDefault="00CD71DE" w:rsidP="003145D0">
            <w:pPr>
              <w:rPr>
                <w:rFonts w:cs="Arial"/>
                <w:b/>
              </w:rPr>
            </w:pPr>
          </w:p>
          <w:p w:rsidR="00CD71DE" w:rsidRPr="003145D0" w:rsidRDefault="00617B64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>X</w:t>
            </w:r>
            <w:r w:rsidR="00CD71DE" w:rsidRPr="003145D0">
              <w:rPr>
                <w:rFonts w:cs="Arial"/>
                <w:b/>
              </w:rPr>
              <w:t>x</w:t>
            </w:r>
          </w:p>
          <w:p w:rsidR="00617B64" w:rsidRPr="003145D0" w:rsidRDefault="00617B64" w:rsidP="003145D0">
            <w:pPr>
              <w:rPr>
                <w:rFonts w:cs="Arial"/>
                <w:b/>
              </w:rPr>
            </w:pPr>
          </w:p>
          <w:p w:rsidR="00617B64" w:rsidRPr="003145D0" w:rsidRDefault="00617B64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 xml:space="preserve">Xx </w:t>
            </w:r>
          </w:p>
        </w:tc>
        <w:tc>
          <w:tcPr>
            <w:tcW w:w="3969" w:type="dxa"/>
            <w:gridSpan w:val="2"/>
          </w:tcPr>
          <w:p w:rsidR="00CD71DE" w:rsidRPr="003145D0" w:rsidRDefault="00CD71DE" w:rsidP="003145D0">
            <w:pPr>
              <w:rPr>
                <w:rFonts w:cs="Arial"/>
              </w:rPr>
            </w:pPr>
            <w:r w:rsidRPr="003145D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145D0">
              <w:rPr>
                <w:rFonts w:cs="Arial"/>
              </w:rPr>
              <w:instrText xml:space="preserve"> FORMCHECKBOX </w:instrText>
            </w:r>
            <w:r w:rsidR="00C33C88">
              <w:rPr>
                <w:rFonts w:cs="Arial"/>
              </w:rPr>
            </w:r>
            <w:r w:rsidR="00C33C88">
              <w:rPr>
                <w:rFonts w:cs="Arial"/>
              </w:rPr>
              <w:fldChar w:fldCharType="separate"/>
            </w:r>
            <w:r w:rsidRPr="003145D0">
              <w:rPr>
                <w:rFonts w:cs="Arial"/>
              </w:rPr>
              <w:fldChar w:fldCharType="end"/>
            </w:r>
            <w:bookmarkEnd w:id="2"/>
            <w:r w:rsidRPr="003145D0">
              <w:rPr>
                <w:rFonts w:cs="Arial"/>
              </w:rPr>
              <w:t xml:space="preserve"> Approval</w:t>
            </w:r>
          </w:p>
          <w:p w:rsidR="00CD71DE" w:rsidRPr="003145D0" w:rsidRDefault="00CD71DE" w:rsidP="003145D0">
            <w:pPr>
              <w:rPr>
                <w:rFonts w:cs="Arial"/>
              </w:rPr>
            </w:pPr>
            <w:r w:rsidRPr="003145D0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145D0">
              <w:rPr>
                <w:rFonts w:cs="Arial"/>
              </w:rPr>
              <w:instrText xml:space="preserve"> FORMCHECKBOX </w:instrText>
            </w:r>
            <w:r w:rsidR="00C33C88">
              <w:rPr>
                <w:rFonts w:cs="Arial"/>
              </w:rPr>
            </w:r>
            <w:r w:rsidR="00C33C88">
              <w:rPr>
                <w:rFonts w:cs="Arial"/>
              </w:rPr>
              <w:fldChar w:fldCharType="separate"/>
            </w:r>
            <w:r w:rsidRPr="003145D0">
              <w:rPr>
                <w:rFonts w:cs="Arial"/>
              </w:rPr>
              <w:fldChar w:fldCharType="end"/>
            </w:r>
            <w:bookmarkEnd w:id="3"/>
            <w:r w:rsidRPr="003145D0">
              <w:rPr>
                <w:rFonts w:cs="Arial"/>
              </w:rPr>
              <w:t xml:space="preserve"> Endorsement/Decision </w:t>
            </w:r>
          </w:p>
          <w:p w:rsidR="00CD71DE" w:rsidRPr="003145D0" w:rsidRDefault="00CD71DE" w:rsidP="003145D0">
            <w:pPr>
              <w:rPr>
                <w:rFonts w:cs="Arial"/>
              </w:rPr>
            </w:pPr>
            <w:r w:rsidRPr="003145D0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145D0">
              <w:rPr>
                <w:rFonts w:cs="Arial"/>
              </w:rPr>
              <w:instrText xml:space="preserve"> FORMCHECKBOX </w:instrText>
            </w:r>
            <w:r w:rsidR="00C33C88">
              <w:rPr>
                <w:rFonts w:cs="Arial"/>
              </w:rPr>
            </w:r>
            <w:r w:rsidR="00C33C88">
              <w:rPr>
                <w:rFonts w:cs="Arial"/>
              </w:rPr>
              <w:fldChar w:fldCharType="separate"/>
            </w:r>
            <w:r w:rsidRPr="003145D0">
              <w:rPr>
                <w:rFonts w:cs="Arial"/>
              </w:rPr>
              <w:fldChar w:fldCharType="end"/>
            </w:r>
            <w:bookmarkEnd w:id="4"/>
            <w:r w:rsidRPr="003145D0">
              <w:rPr>
                <w:rFonts w:cs="Arial"/>
              </w:rPr>
              <w:t xml:space="preserve"> Discussion</w:t>
            </w:r>
          </w:p>
          <w:p w:rsidR="00CD71DE" w:rsidRPr="003145D0" w:rsidRDefault="00CD71DE" w:rsidP="003145D0">
            <w:pPr>
              <w:rPr>
                <w:rFonts w:cs="Arial"/>
              </w:rPr>
            </w:pPr>
            <w:r w:rsidRPr="003145D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145D0">
              <w:rPr>
                <w:rFonts w:cs="Arial"/>
              </w:rPr>
              <w:instrText xml:space="preserve"> FORMCHECKBOX </w:instrText>
            </w:r>
            <w:r w:rsidR="00C33C88">
              <w:rPr>
                <w:rFonts w:cs="Arial"/>
              </w:rPr>
            </w:r>
            <w:r w:rsidR="00C33C88">
              <w:rPr>
                <w:rFonts w:cs="Arial"/>
              </w:rPr>
              <w:fldChar w:fldCharType="separate"/>
            </w:r>
            <w:r w:rsidRPr="003145D0">
              <w:rPr>
                <w:rFonts w:cs="Arial"/>
              </w:rPr>
              <w:fldChar w:fldCharType="end"/>
            </w:r>
            <w:bookmarkEnd w:id="5"/>
            <w:r w:rsidRPr="003145D0">
              <w:rPr>
                <w:rFonts w:cs="Arial"/>
              </w:rPr>
              <w:t xml:space="preserve"> Information </w:t>
            </w:r>
          </w:p>
        </w:tc>
      </w:tr>
      <w:tr w:rsidR="00183DB1" w:rsidRPr="003145D0" w:rsidTr="00CD71DE">
        <w:tc>
          <w:tcPr>
            <w:tcW w:w="10207" w:type="dxa"/>
            <w:gridSpan w:val="5"/>
          </w:tcPr>
          <w:p w:rsidR="00183DB1" w:rsidRPr="003145D0" w:rsidRDefault="00183DB1" w:rsidP="003145D0">
            <w:pPr>
              <w:rPr>
                <w:rFonts w:cs="Arial"/>
                <w:b/>
              </w:rPr>
            </w:pPr>
          </w:p>
          <w:p w:rsidR="00906726" w:rsidRPr="00906726" w:rsidRDefault="00183DB1" w:rsidP="00906726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 xml:space="preserve">Subject:  </w:t>
            </w:r>
            <w:r w:rsidR="00906726" w:rsidRPr="00906726">
              <w:rPr>
                <w:rFonts w:cs="Arial"/>
              </w:rPr>
              <w:t>CQC inspection: outcomes and next steps</w:t>
            </w:r>
          </w:p>
          <w:p w:rsidR="00183DB1" w:rsidRPr="003145D0" w:rsidRDefault="00183DB1" w:rsidP="003145D0">
            <w:pPr>
              <w:rPr>
                <w:rFonts w:cs="Arial"/>
              </w:rPr>
            </w:pPr>
          </w:p>
          <w:p w:rsidR="00183DB1" w:rsidRPr="003145D0" w:rsidRDefault="00183DB1" w:rsidP="003145D0">
            <w:pPr>
              <w:rPr>
                <w:rFonts w:cs="Arial"/>
                <w:b/>
              </w:rPr>
            </w:pPr>
          </w:p>
        </w:tc>
      </w:tr>
      <w:tr w:rsidR="00183DB1" w:rsidRPr="003145D0" w:rsidTr="00CD71DE">
        <w:tc>
          <w:tcPr>
            <w:tcW w:w="4962" w:type="dxa"/>
            <w:gridSpan w:val="2"/>
          </w:tcPr>
          <w:p w:rsidR="0021004B" w:rsidRDefault="00183DB1" w:rsidP="0021004B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 xml:space="preserve">Director Responsible:  </w:t>
            </w:r>
          </w:p>
          <w:p w:rsidR="00183DB1" w:rsidRPr="003145D0" w:rsidRDefault="00906726" w:rsidP="003145D0">
            <w:pPr>
              <w:rPr>
                <w:rFonts w:cs="Arial"/>
              </w:rPr>
            </w:pPr>
            <w:r>
              <w:rPr>
                <w:rFonts w:cs="Arial"/>
              </w:rPr>
              <w:t>Barbara Beal, Interim Chief Nurse</w:t>
            </w:r>
          </w:p>
          <w:p w:rsidR="00183DB1" w:rsidRPr="003145D0" w:rsidRDefault="00183DB1" w:rsidP="003145D0">
            <w:pPr>
              <w:rPr>
                <w:rFonts w:cs="Arial"/>
              </w:rPr>
            </w:pPr>
          </w:p>
        </w:tc>
        <w:tc>
          <w:tcPr>
            <w:tcW w:w="5245" w:type="dxa"/>
            <w:gridSpan w:val="3"/>
          </w:tcPr>
          <w:p w:rsidR="00183DB1" w:rsidRPr="003145D0" w:rsidRDefault="00183DB1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>Author:</w:t>
            </w:r>
          </w:p>
          <w:p w:rsidR="00183DB1" w:rsidRDefault="00906726" w:rsidP="003145D0">
            <w:pPr>
              <w:rPr>
                <w:rFonts w:cs="Arial"/>
              </w:rPr>
            </w:pPr>
            <w:r w:rsidRPr="00906726">
              <w:rPr>
                <w:rFonts w:cs="Arial"/>
              </w:rPr>
              <w:t>Ted Nyatanga</w:t>
            </w:r>
            <w:r>
              <w:rPr>
                <w:rFonts w:cs="Arial"/>
              </w:rPr>
              <w:t>, CQC Quality Assurance Lead</w:t>
            </w:r>
          </w:p>
          <w:p w:rsidR="002E6C27" w:rsidRPr="003145D0" w:rsidRDefault="002E6C27" w:rsidP="003145D0">
            <w:pPr>
              <w:rPr>
                <w:rFonts w:cs="Arial"/>
              </w:rPr>
            </w:pPr>
            <w:r>
              <w:rPr>
                <w:rFonts w:cs="Arial"/>
              </w:rPr>
              <w:t>Barbara Beal Interim Chief Nurse</w:t>
            </w:r>
          </w:p>
        </w:tc>
      </w:tr>
      <w:tr w:rsidR="00F67F2C" w:rsidRPr="003145D0" w:rsidTr="00CD71DE">
        <w:tc>
          <w:tcPr>
            <w:tcW w:w="10207" w:type="dxa"/>
            <w:gridSpan w:val="5"/>
          </w:tcPr>
          <w:p w:rsidR="00F67F2C" w:rsidRDefault="00F67F2C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t>Summary:</w:t>
            </w:r>
          </w:p>
          <w:p w:rsidR="00906726" w:rsidRDefault="00906726" w:rsidP="003145D0">
            <w:pPr>
              <w:rPr>
                <w:rFonts w:cs="Arial"/>
                <w:b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 xml:space="preserve">The Care Quality Commission (CQC) undertook an announced inspection of London North West University Healthcare NHS Trust for 3 days from 5 to 7 June 2018. Scheduled inspections took place across 4 of our sites: Northwick Park, Ealing, Community Inpatients-Willesden and Clayponds and Community Dental. 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>The CQC also undertook a ‘Well-Led’ specific inspection of the entire service from the 3</w:t>
            </w:r>
            <w:r w:rsidRPr="00906726">
              <w:rPr>
                <w:rFonts w:cs="Arial"/>
                <w:vertAlign w:val="superscript"/>
              </w:rPr>
              <w:t xml:space="preserve"> </w:t>
            </w:r>
            <w:r w:rsidRPr="00906726">
              <w:rPr>
                <w:rFonts w:cs="Arial"/>
              </w:rPr>
              <w:t xml:space="preserve">to 6 July 2018 through tours and scheduled interviews with senior managers, service leads and the Executive team. 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 xml:space="preserve">An unannounced inspection took place between 8 to18 July 2018. 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>As part of the inspection, the CQC spoke to patients, visitors, carers and staff (in the hospitals, in focus groups and formal interviews) to gain a view of London North West University Healthcare NHS Trust’ 8 core services; Surgery, Critical care, Maternity/Gynaecology, Services for Children and Young People, Medical care, Urgent &amp; Emergency Care, Community and Community Dental Services.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 xml:space="preserve"> The CQC methodology seeks to rate each of these in relation </w:t>
            </w:r>
            <w:r w:rsidR="00EA3063">
              <w:rPr>
                <w:rFonts w:cs="Arial"/>
              </w:rPr>
              <w:t xml:space="preserve">to </w:t>
            </w:r>
            <w:r w:rsidRPr="00906726">
              <w:rPr>
                <w:rFonts w:cs="Arial"/>
              </w:rPr>
              <w:t xml:space="preserve">five domains: </w:t>
            </w:r>
          </w:p>
          <w:p w:rsidR="00906726" w:rsidRPr="00906726" w:rsidRDefault="00906726" w:rsidP="00906726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Were services safe? </w:t>
            </w:r>
          </w:p>
          <w:p w:rsidR="00906726" w:rsidRPr="00906726" w:rsidRDefault="00906726" w:rsidP="00906726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Were services effective? </w:t>
            </w:r>
          </w:p>
          <w:p w:rsidR="00906726" w:rsidRPr="00906726" w:rsidRDefault="00906726" w:rsidP="00906726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Were services caring? </w:t>
            </w:r>
          </w:p>
          <w:p w:rsidR="00906726" w:rsidRPr="00906726" w:rsidRDefault="00906726" w:rsidP="00906726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Were services responsive to people’s needs? </w:t>
            </w:r>
          </w:p>
          <w:p w:rsidR="00906726" w:rsidRPr="00906726" w:rsidRDefault="00906726" w:rsidP="00906726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Were services well led? 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lastRenderedPageBreak/>
              <w:t>In the period prior to the inspection, the Trust provided large amounts of documentation to the CQC via a process called the Provider Information Return (PIR). This was followed by further Data Requests (DR) during and after inspection</w:t>
            </w:r>
            <w:r w:rsidR="00EA3063">
              <w:rPr>
                <w:rFonts w:cs="Arial"/>
              </w:rPr>
              <w:t>. A</w:t>
            </w:r>
            <w:r w:rsidRPr="00906726">
              <w:rPr>
                <w:rFonts w:cs="Arial"/>
              </w:rPr>
              <w:t xml:space="preserve"> total of approximately 700 DRs</w:t>
            </w:r>
            <w:r w:rsidR="00EA3063">
              <w:rPr>
                <w:rFonts w:cs="Arial"/>
              </w:rPr>
              <w:t xml:space="preserve"> were received and responded to</w:t>
            </w:r>
            <w:r w:rsidRPr="00906726">
              <w:rPr>
                <w:rFonts w:cs="Arial"/>
              </w:rPr>
              <w:t>.  The CQC use this information to provide focus during their inspection and triangulate their inspection results. All responses were provided within</w:t>
            </w:r>
            <w:r w:rsidR="00EA3063">
              <w:rPr>
                <w:rFonts w:cs="Arial"/>
              </w:rPr>
              <w:t xml:space="preserve"> the required deadline and t</w:t>
            </w:r>
            <w:r w:rsidRPr="00906726">
              <w:rPr>
                <w:rFonts w:cs="Arial"/>
              </w:rPr>
              <w:t xml:space="preserve">he inspection ran smoothly as a result of </w:t>
            </w:r>
            <w:r w:rsidR="00EA3063">
              <w:rPr>
                <w:rFonts w:cs="Arial"/>
              </w:rPr>
              <w:t xml:space="preserve">the </w:t>
            </w:r>
            <w:r w:rsidRPr="00906726">
              <w:rPr>
                <w:rFonts w:cs="Arial"/>
              </w:rPr>
              <w:t>robust preparation and engagement with staff at all levels and the CQC commented very positively on how the Trust hosted them.</w:t>
            </w:r>
          </w:p>
          <w:p w:rsidR="00906726" w:rsidRPr="003145D0" w:rsidRDefault="00906726" w:rsidP="003145D0">
            <w:pPr>
              <w:rPr>
                <w:rFonts w:cs="Arial"/>
                <w:b/>
              </w:rPr>
            </w:pPr>
          </w:p>
          <w:p w:rsidR="00906726" w:rsidRPr="00906726" w:rsidRDefault="006401B7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 xml:space="preserve">The CQC issued six </w:t>
            </w:r>
            <w:r>
              <w:rPr>
                <w:rFonts w:cs="Arial"/>
              </w:rPr>
              <w:t xml:space="preserve">potential </w:t>
            </w:r>
            <w:r w:rsidRPr="00906726">
              <w:rPr>
                <w:rFonts w:cs="Arial"/>
              </w:rPr>
              <w:t xml:space="preserve">breaches </w:t>
            </w:r>
            <w:r>
              <w:rPr>
                <w:rFonts w:cs="Arial"/>
              </w:rPr>
              <w:t>of legal requirements that the T</w:t>
            </w:r>
            <w:r w:rsidRPr="00906726">
              <w:rPr>
                <w:rFonts w:cs="Arial"/>
              </w:rPr>
              <w:t xml:space="preserve">rust </w:t>
            </w:r>
            <w:r>
              <w:rPr>
                <w:rFonts w:cs="Arial"/>
              </w:rPr>
              <w:t xml:space="preserve">had to put </w:t>
            </w:r>
            <w:r w:rsidRPr="00906726">
              <w:rPr>
                <w:rFonts w:cs="Arial"/>
              </w:rPr>
              <w:t xml:space="preserve">right </w:t>
            </w:r>
            <w:r>
              <w:rPr>
                <w:rFonts w:cs="Arial"/>
              </w:rPr>
              <w:t xml:space="preserve">in advance of the reports publication. </w:t>
            </w:r>
            <w:r w:rsidR="00906726">
              <w:rPr>
                <w:rFonts w:cs="Arial"/>
              </w:rPr>
              <w:t>T</w:t>
            </w:r>
            <w:r w:rsidR="00906726" w:rsidRPr="00906726">
              <w:rPr>
                <w:rFonts w:cs="Arial"/>
              </w:rPr>
              <w:t xml:space="preserve">he report was published at the end of August and the overall Trust rating remained unchanged as ‘Requires Improvement’ from the previous </w:t>
            </w:r>
            <w:r w:rsidR="00EA3063">
              <w:rPr>
                <w:rFonts w:cs="Arial"/>
              </w:rPr>
              <w:t xml:space="preserve">CQC </w:t>
            </w:r>
            <w:r w:rsidR="00906726" w:rsidRPr="00906726">
              <w:rPr>
                <w:rFonts w:cs="Arial"/>
              </w:rPr>
              <w:t xml:space="preserve">2015 inspection-see summary table below; </w:t>
            </w:r>
          </w:p>
          <w:p w:rsidR="00906726" w:rsidRPr="00906726" w:rsidRDefault="00906726" w:rsidP="00906726">
            <w:pPr>
              <w:rPr>
                <w:rFonts w:cs="Arial"/>
                <w:b/>
              </w:rPr>
            </w:pPr>
          </w:p>
          <w:p w:rsidR="00906726" w:rsidRPr="00906726" w:rsidRDefault="00906726" w:rsidP="00906726">
            <w:pPr>
              <w:rPr>
                <w:rFonts w:cs="Arial"/>
                <w:b/>
              </w:rPr>
            </w:pPr>
            <w:r w:rsidRPr="00906726">
              <w:rPr>
                <w:rFonts w:cs="Arial"/>
                <w:b/>
                <w:noProof/>
              </w:rPr>
              <w:drawing>
                <wp:inline distT="0" distB="0" distL="0" distR="0" wp14:anchorId="443CD3FA" wp14:editId="6C9D0691">
                  <wp:extent cx="6315075" cy="3276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145" t="34165" r="60738" b="11876"/>
                          <a:stretch/>
                        </pic:blipFill>
                        <pic:spPr bwMode="auto">
                          <a:xfrm>
                            <a:off x="0" y="0"/>
                            <a:ext cx="6323153" cy="3280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rPr>
                <w:rFonts w:cs="Arial"/>
              </w:rPr>
            </w:pPr>
            <w:r w:rsidRPr="00906726">
              <w:rPr>
                <w:rFonts w:cs="Arial"/>
              </w:rPr>
              <w:t>Main highlights from the report include overall ratings as follows;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06726" w:rsidRPr="00906726" w:rsidRDefault="00906726" w:rsidP="00906726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906726">
              <w:rPr>
                <w:rFonts w:cs="Arial"/>
              </w:rPr>
              <w:t xml:space="preserve">Good for the ‘Caring’ domain with outstanding practice </w:t>
            </w:r>
            <w:r w:rsidR="00EA3063">
              <w:rPr>
                <w:rFonts w:cs="Arial"/>
              </w:rPr>
              <w:t>identified with</w:t>
            </w:r>
            <w:r w:rsidRPr="00906726">
              <w:rPr>
                <w:rFonts w:cs="Arial"/>
              </w:rPr>
              <w:t>in Surgery and Community Inpatients</w:t>
            </w:r>
            <w:r w:rsidR="00EA3063">
              <w:rPr>
                <w:rFonts w:cs="Arial"/>
              </w:rPr>
              <w:t xml:space="preserve"> services</w:t>
            </w:r>
          </w:p>
          <w:p w:rsidR="00906726" w:rsidRPr="00906726" w:rsidRDefault="00906726" w:rsidP="00906726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906726">
              <w:rPr>
                <w:rFonts w:cs="Arial"/>
              </w:rPr>
              <w:t>Good for Inpatient Community Service</w:t>
            </w:r>
          </w:p>
          <w:p w:rsidR="00906726" w:rsidRPr="00906726" w:rsidRDefault="00906726" w:rsidP="00906726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906726">
              <w:rPr>
                <w:rFonts w:cs="Arial"/>
              </w:rPr>
              <w:t>Inadequate for the ‘Safe’ domain at the Ealing site</w:t>
            </w:r>
          </w:p>
          <w:p w:rsidR="00906726" w:rsidRPr="00906726" w:rsidRDefault="00906726" w:rsidP="00906726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906726">
              <w:rPr>
                <w:rFonts w:cs="Arial"/>
              </w:rPr>
              <w:t>Inadequate for the Maternity service at Northwick Park site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6401B7" w:rsidRDefault="006401B7" w:rsidP="006401B7">
            <w:pPr>
              <w:rPr>
                <w:rFonts w:cs="Arial"/>
              </w:rPr>
            </w:pPr>
            <w:r>
              <w:rPr>
                <w:rFonts w:cs="Arial"/>
              </w:rPr>
              <w:t xml:space="preserve">Within the final report the CQC identified </w:t>
            </w:r>
            <w:r w:rsidRPr="00906726">
              <w:rPr>
                <w:rFonts w:cs="Arial"/>
              </w:rPr>
              <w:t>39 ‘MUST DOs and 72 SHO</w:t>
            </w:r>
            <w:r>
              <w:rPr>
                <w:rFonts w:cs="Arial"/>
              </w:rPr>
              <w:t>ULD DOs</w:t>
            </w:r>
            <w:r w:rsidRPr="009067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 the Trust needs to address</w:t>
            </w:r>
            <w:r w:rsidR="00906726" w:rsidRPr="00906726">
              <w:rPr>
                <w:rFonts w:cs="Arial"/>
              </w:rPr>
              <w:t xml:space="preserve"> to comply with a minor breach that did not justify regulatory action, to prevent breaching a legal requirement, or to improve service quality.</w:t>
            </w:r>
            <w:r w:rsidRPr="00906726">
              <w:rPr>
                <w:rFonts w:cs="Arial"/>
              </w:rPr>
              <w:t xml:space="preserve"> The Trust has developed an action plan in response to </w:t>
            </w:r>
            <w:r>
              <w:rPr>
                <w:rFonts w:cs="Arial"/>
              </w:rPr>
              <w:t xml:space="preserve">all of </w:t>
            </w:r>
            <w:r w:rsidRPr="00906726">
              <w:rPr>
                <w:rFonts w:cs="Arial"/>
              </w:rPr>
              <w:t>the</w:t>
            </w:r>
            <w:r>
              <w:rPr>
                <w:rFonts w:cs="Arial"/>
              </w:rPr>
              <w:t>se that was submitted</w:t>
            </w:r>
            <w:r w:rsidRPr="009067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the CQC </w:t>
            </w:r>
            <w:r w:rsidRPr="00906726">
              <w:rPr>
                <w:rFonts w:cs="Arial"/>
              </w:rPr>
              <w:t>by the 30</w:t>
            </w:r>
            <w:r w:rsidRPr="00906726">
              <w:rPr>
                <w:rFonts w:cs="Arial"/>
                <w:vertAlign w:val="superscript"/>
              </w:rPr>
              <w:t>th</w:t>
            </w:r>
            <w:r w:rsidRPr="00906726">
              <w:rPr>
                <w:rFonts w:cs="Arial"/>
              </w:rPr>
              <w:t xml:space="preserve"> </w:t>
            </w:r>
            <w:r w:rsidRPr="00906726">
              <w:rPr>
                <w:rFonts w:cs="Arial"/>
              </w:rPr>
              <w:lastRenderedPageBreak/>
              <w:t>September 2018 deadline.</w:t>
            </w:r>
          </w:p>
          <w:p w:rsidR="006401B7" w:rsidRPr="00906726" w:rsidRDefault="006401B7" w:rsidP="006401B7">
            <w:pPr>
              <w:rPr>
                <w:rFonts w:cs="Arial"/>
              </w:rPr>
            </w:pPr>
          </w:p>
          <w:p w:rsidR="00906726" w:rsidRPr="00906726" w:rsidRDefault="00EA3063" w:rsidP="0090672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906726" w:rsidRPr="00906726">
              <w:rPr>
                <w:rFonts w:cs="Arial"/>
              </w:rPr>
              <w:t>he CQC</w:t>
            </w:r>
            <w:r>
              <w:rPr>
                <w:rFonts w:cs="Arial"/>
              </w:rPr>
              <w:t xml:space="preserve"> will check that the T</w:t>
            </w:r>
            <w:r w:rsidR="00906726" w:rsidRPr="00906726">
              <w:rPr>
                <w:rFonts w:cs="Arial"/>
              </w:rPr>
              <w:t>rust takes the necessary action to improve its services. They will continue to monitor the safety and quality of services through the co</w:t>
            </w:r>
            <w:r>
              <w:rPr>
                <w:rFonts w:cs="Arial"/>
              </w:rPr>
              <w:t>ntinuing relationship with the T</w:t>
            </w:r>
            <w:r w:rsidR="00906726" w:rsidRPr="00906726">
              <w:rPr>
                <w:rFonts w:cs="Arial"/>
              </w:rPr>
              <w:t>rust and their regular inspections.</w:t>
            </w:r>
          </w:p>
          <w:p w:rsidR="00906726" w:rsidRPr="00906726" w:rsidRDefault="00906726" w:rsidP="00906726">
            <w:pPr>
              <w:rPr>
                <w:rFonts w:cs="Arial"/>
              </w:rPr>
            </w:pPr>
          </w:p>
          <w:p w:rsidR="009351FC" w:rsidRPr="009351FC" w:rsidRDefault="009351FC" w:rsidP="009351FC">
            <w:pPr>
              <w:rPr>
                <w:rFonts w:cs="Arial"/>
                <w:b/>
                <w:u w:val="single"/>
              </w:rPr>
            </w:pPr>
            <w:r w:rsidRPr="009351FC">
              <w:rPr>
                <w:rFonts w:cs="Arial"/>
                <w:b/>
                <w:u w:val="single"/>
              </w:rPr>
              <w:t>Active and Next Steps include;</w:t>
            </w:r>
          </w:p>
          <w:p w:rsidR="009351FC" w:rsidRPr="009351FC" w:rsidRDefault="009351FC" w:rsidP="009351FC">
            <w:pPr>
              <w:rPr>
                <w:rFonts w:cs="Arial"/>
                <w:b/>
                <w:u w:val="single"/>
              </w:rPr>
            </w:pPr>
          </w:p>
          <w:p w:rsidR="009351FC" w:rsidRDefault="009351FC" w:rsidP="009351FC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9351FC">
              <w:rPr>
                <w:rFonts w:cs="Arial"/>
              </w:rPr>
              <w:t>Trust Action Plan</w:t>
            </w:r>
            <w:r w:rsidR="00092150">
              <w:rPr>
                <w:rFonts w:cs="Arial"/>
              </w:rPr>
              <w:t xml:space="preserve"> submitted to the CQC </w:t>
            </w:r>
            <w:r w:rsidRPr="009351FC">
              <w:rPr>
                <w:rFonts w:cs="Arial"/>
              </w:rPr>
              <w:t xml:space="preserve"> </w:t>
            </w:r>
            <w:r w:rsidR="00EA3063">
              <w:rPr>
                <w:rFonts w:cs="Arial"/>
              </w:rPr>
              <w:t xml:space="preserve">on </w:t>
            </w:r>
            <w:r w:rsidRPr="009351FC">
              <w:rPr>
                <w:rFonts w:cs="Arial"/>
              </w:rPr>
              <w:t>30</w:t>
            </w:r>
            <w:r w:rsidRPr="009351FC">
              <w:rPr>
                <w:rFonts w:cs="Arial"/>
                <w:vertAlign w:val="superscript"/>
              </w:rPr>
              <w:t>th</w:t>
            </w:r>
            <w:r w:rsidRPr="009351FC">
              <w:rPr>
                <w:rFonts w:cs="Arial"/>
              </w:rPr>
              <w:t xml:space="preserve"> September 2018</w:t>
            </w:r>
          </w:p>
          <w:p w:rsidR="00092150" w:rsidRDefault="006E7699" w:rsidP="009351FC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092150">
              <w:rPr>
                <w:rFonts w:cs="Arial"/>
              </w:rPr>
              <w:t xml:space="preserve">ey stakeholders </w:t>
            </w:r>
            <w:r>
              <w:rPr>
                <w:rFonts w:cs="Arial"/>
              </w:rPr>
              <w:t xml:space="preserve">invited </w:t>
            </w:r>
            <w:r w:rsidR="00092150">
              <w:rPr>
                <w:rFonts w:cs="Arial"/>
              </w:rPr>
              <w:t xml:space="preserve">to the </w:t>
            </w:r>
            <w:r w:rsidR="00EA3063">
              <w:rPr>
                <w:rFonts w:cs="Arial"/>
              </w:rPr>
              <w:t xml:space="preserve">CQC </w:t>
            </w:r>
            <w:r w:rsidR="00092150">
              <w:rPr>
                <w:rFonts w:cs="Arial"/>
              </w:rPr>
              <w:t>Quality Summit</w:t>
            </w:r>
            <w:r w:rsidR="00EA3063">
              <w:rPr>
                <w:rFonts w:cs="Arial"/>
              </w:rPr>
              <w:t xml:space="preserve"> on</w:t>
            </w:r>
            <w:r w:rsidR="00092150">
              <w:rPr>
                <w:rFonts w:cs="Arial"/>
              </w:rPr>
              <w:t xml:space="preserve"> 6</w:t>
            </w:r>
            <w:r w:rsidR="00092150" w:rsidRPr="00092150">
              <w:rPr>
                <w:rFonts w:cs="Arial"/>
                <w:vertAlign w:val="superscript"/>
              </w:rPr>
              <w:t>th</w:t>
            </w:r>
            <w:r w:rsidR="00092150">
              <w:rPr>
                <w:rFonts w:cs="Arial"/>
              </w:rPr>
              <w:t xml:space="preserve"> November 18</w:t>
            </w:r>
          </w:p>
          <w:p w:rsidR="00BF54BC" w:rsidRPr="00DA17D4" w:rsidRDefault="006E7699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The Executive Team to</w:t>
            </w:r>
            <w:r w:rsidR="00914D42" w:rsidRPr="00DA17D4">
              <w:rPr>
                <w:rFonts w:cs="Arial"/>
              </w:rPr>
              <w:t xml:space="preserve"> meet monthly for oversight of progress against the CQC action plan and with the development and implementation of the Quality Improvement Progr</w:t>
            </w:r>
            <w:r w:rsidR="00082CAE">
              <w:rPr>
                <w:rFonts w:cs="Arial"/>
              </w:rPr>
              <w:t>amme. The new</w:t>
            </w:r>
            <w:r w:rsidR="00914D42" w:rsidRPr="00DA17D4">
              <w:rPr>
                <w:rFonts w:cs="Arial"/>
              </w:rPr>
              <w:t xml:space="preserve"> Quality and</w:t>
            </w:r>
            <w:r w:rsidR="00E97BCE">
              <w:rPr>
                <w:rFonts w:cs="Arial"/>
              </w:rPr>
              <w:t xml:space="preserve"> Safety Committee will provide</w:t>
            </w:r>
            <w:r w:rsidR="00914D42" w:rsidRPr="00DA17D4">
              <w:rPr>
                <w:rFonts w:cs="Arial"/>
              </w:rPr>
              <w:t xml:space="preserve"> Board oversight.</w:t>
            </w:r>
          </w:p>
          <w:p w:rsidR="00BF54BC" w:rsidRPr="00DA17D4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DA17D4">
              <w:rPr>
                <w:rFonts w:cs="Arial"/>
              </w:rPr>
              <w:t xml:space="preserve">8 of the 31 Maternity actions to address bleep system risk and security issues, among other identified concerns,  have been completed with ongoing </w:t>
            </w:r>
            <w:r w:rsidR="00E97BCE">
              <w:rPr>
                <w:rFonts w:cs="Arial"/>
              </w:rPr>
              <w:t xml:space="preserve">compliance </w:t>
            </w:r>
            <w:r w:rsidRPr="00DA17D4">
              <w:rPr>
                <w:rFonts w:cs="Arial"/>
              </w:rPr>
              <w:t>monitoring</w:t>
            </w:r>
          </w:p>
          <w:p w:rsidR="00BF54BC" w:rsidRPr="00DA17D4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DA17D4">
              <w:rPr>
                <w:rFonts w:cs="Arial"/>
              </w:rPr>
              <w:t xml:space="preserve">3 Care Quality Improvement </w:t>
            </w:r>
            <w:r w:rsidR="00E97BCE">
              <w:rPr>
                <w:rFonts w:cs="Arial"/>
              </w:rPr>
              <w:t>work streams have been establish</w:t>
            </w:r>
            <w:r w:rsidR="00082CAE">
              <w:rPr>
                <w:rFonts w:cs="Arial"/>
              </w:rPr>
              <w:t>ed</w:t>
            </w:r>
            <w:r w:rsidRPr="00DA17D4">
              <w:rPr>
                <w:rFonts w:cs="Arial"/>
              </w:rPr>
              <w:t xml:space="preserve"> and are progressing robust actions to mitigate medicines management, documentation and clinical risk assessment practice issues supported by the NHSI intensive support team and the Chief Pharmacist</w:t>
            </w:r>
          </w:p>
          <w:p w:rsidR="00BF54BC" w:rsidRPr="00DA17D4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DA17D4">
              <w:rPr>
                <w:rFonts w:cs="Arial"/>
              </w:rPr>
              <w:t>Treatment o</w:t>
            </w:r>
            <w:r w:rsidR="00E97BCE">
              <w:rPr>
                <w:rFonts w:cs="Arial"/>
              </w:rPr>
              <w:t xml:space="preserve">f children in the Ealing ED </w:t>
            </w:r>
            <w:r w:rsidR="00082CAE">
              <w:rPr>
                <w:rFonts w:cs="Arial"/>
              </w:rPr>
              <w:t xml:space="preserve">has been stopped; this has </w:t>
            </w:r>
            <w:r w:rsidRPr="00DA17D4">
              <w:rPr>
                <w:rFonts w:cs="Arial"/>
              </w:rPr>
              <w:t xml:space="preserve">been communicated and reiterated to all staff. </w:t>
            </w:r>
            <w:r w:rsidR="00E97BCE">
              <w:rPr>
                <w:rFonts w:cs="Arial"/>
              </w:rPr>
              <w:t xml:space="preserve">The </w:t>
            </w:r>
            <w:r w:rsidRPr="00DA17D4">
              <w:rPr>
                <w:rFonts w:cs="Arial"/>
              </w:rPr>
              <w:t xml:space="preserve">Paediatric care environment including transfers is being improved </w:t>
            </w:r>
            <w:r w:rsidR="00E97BCE">
              <w:rPr>
                <w:rFonts w:cs="Arial"/>
              </w:rPr>
              <w:t>and monitored</w:t>
            </w:r>
          </w:p>
          <w:p w:rsidR="00BF54BC" w:rsidRPr="00DA17D4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DA17D4">
              <w:rPr>
                <w:rFonts w:cs="Arial"/>
              </w:rPr>
              <w:t xml:space="preserve">Mandatory training compliance is being accelerated through various initiatives including more </w:t>
            </w:r>
            <w:r w:rsidR="00E97BCE">
              <w:rPr>
                <w:rFonts w:cs="Arial"/>
              </w:rPr>
              <w:t xml:space="preserve">face to face and </w:t>
            </w:r>
            <w:r w:rsidRPr="00DA17D4">
              <w:rPr>
                <w:rFonts w:cs="Arial"/>
              </w:rPr>
              <w:t>online sessions and introduction of a new system by HR</w:t>
            </w:r>
          </w:p>
          <w:p w:rsidR="00E97BCE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E97BCE">
              <w:rPr>
                <w:rFonts w:cs="Arial"/>
              </w:rPr>
              <w:t xml:space="preserve">NHSI </w:t>
            </w:r>
            <w:r w:rsidR="00E97BCE" w:rsidRPr="00E97BCE">
              <w:rPr>
                <w:rFonts w:cs="Arial"/>
              </w:rPr>
              <w:t xml:space="preserve">have agreed to identify and support the allocation of a </w:t>
            </w:r>
            <w:r w:rsidRPr="00E97BCE">
              <w:rPr>
                <w:rFonts w:cs="Arial"/>
              </w:rPr>
              <w:t>0.5 WTE Quality Improvement Director (shared with Hillingdon Hospitals NHSFT</w:t>
            </w:r>
            <w:proofErr w:type="gramStart"/>
            <w:r w:rsidRPr="00E97BCE">
              <w:rPr>
                <w:rFonts w:cs="Arial"/>
              </w:rPr>
              <w:t xml:space="preserve">) </w:t>
            </w:r>
            <w:r w:rsidR="00E97BCE">
              <w:rPr>
                <w:rFonts w:cs="Arial"/>
              </w:rPr>
              <w:t>.</w:t>
            </w:r>
            <w:proofErr w:type="gramEnd"/>
          </w:p>
          <w:p w:rsidR="00BF54BC" w:rsidRPr="00E97BCE" w:rsidRDefault="00914D42" w:rsidP="00DA17D4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E97BCE">
              <w:rPr>
                <w:rFonts w:cs="Arial"/>
              </w:rPr>
              <w:t xml:space="preserve">£200k has been allocated by NHSI to support the Trust </w:t>
            </w:r>
            <w:r w:rsidR="00E97BCE">
              <w:rPr>
                <w:rFonts w:cs="Arial"/>
              </w:rPr>
              <w:t>with the CQC improvement programme</w:t>
            </w:r>
            <w:r w:rsidRPr="00E97BCE">
              <w:rPr>
                <w:rFonts w:cs="Arial"/>
              </w:rPr>
              <w:t xml:space="preserve"> to include: 3.0 WTE band 8a posts to support and implement sustainable changes within the divisions and across the Trust as well as the NHSI Medical Engagement Survey; these were approved at the Executive Committee on 19th September 18 </w:t>
            </w:r>
          </w:p>
          <w:p w:rsidR="00BF54BC" w:rsidRPr="00135ED6" w:rsidRDefault="00E97BCE" w:rsidP="00135ED6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 </w:t>
            </w:r>
            <w:r w:rsidR="00914D42" w:rsidRPr="00135ED6">
              <w:rPr>
                <w:rFonts w:cs="Arial"/>
              </w:rPr>
              <w:t>NHSI approved Mat</w:t>
            </w:r>
            <w:r>
              <w:rPr>
                <w:rFonts w:cs="Arial"/>
              </w:rPr>
              <w:t xml:space="preserve">ernity Advisor has commenced </w:t>
            </w:r>
            <w:r w:rsidR="00914D42" w:rsidRPr="00135ED6">
              <w:rPr>
                <w:rFonts w:cs="Arial"/>
              </w:rPr>
              <w:t xml:space="preserve">support </w:t>
            </w:r>
            <w:r>
              <w:rPr>
                <w:rFonts w:cs="Arial"/>
              </w:rPr>
              <w:t xml:space="preserve">to </w:t>
            </w:r>
            <w:r w:rsidR="00914D42" w:rsidRPr="00135ED6">
              <w:rPr>
                <w:rFonts w:cs="Arial"/>
              </w:rPr>
              <w:t>the Trust</w:t>
            </w:r>
            <w:r>
              <w:rPr>
                <w:rFonts w:cs="Arial"/>
              </w:rPr>
              <w:t xml:space="preserve"> maternity services work stream</w:t>
            </w:r>
          </w:p>
          <w:p w:rsidR="00BF54BC" w:rsidRPr="00135ED6" w:rsidRDefault="00914D42" w:rsidP="00135ED6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135ED6">
              <w:rPr>
                <w:rFonts w:cs="Arial"/>
              </w:rPr>
              <w:t>The Trust has appointed the first cohort of 20 quality improvement leads that is ongoing in line with the Transformation programme</w:t>
            </w:r>
          </w:p>
          <w:p w:rsidR="00C25490" w:rsidRDefault="00914D42" w:rsidP="00C2549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135ED6">
              <w:rPr>
                <w:rFonts w:cs="Arial"/>
              </w:rPr>
              <w:t>A Quality Summit is scheduled for 6th</w:t>
            </w:r>
            <w:r w:rsidR="00E97BCE">
              <w:rPr>
                <w:rFonts w:cs="Arial"/>
              </w:rPr>
              <w:t xml:space="preserve"> November 2018, supported</w:t>
            </w:r>
            <w:r w:rsidR="00C25490">
              <w:rPr>
                <w:rFonts w:cs="Arial"/>
              </w:rPr>
              <w:t xml:space="preserve"> by NHSI</w:t>
            </w:r>
          </w:p>
          <w:p w:rsidR="006401B7" w:rsidRPr="00C25490" w:rsidRDefault="006401B7" w:rsidP="00C25490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Ambition to move from Requires Improvement to Outstanding in next 2 years</w:t>
            </w:r>
          </w:p>
          <w:p w:rsidR="00DA17D4" w:rsidRPr="009351FC" w:rsidRDefault="00DA17D4" w:rsidP="00082CAE">
            <w:pPr>
              <w:ind w:left="360"/>
              <w:rPr>
                <w:rFonts w:cs="Arial"/>
              </w:rPr>
            </w:pPr>
          </w:p>
          <w:p w:rsidR="00F67F2C" w:rsidRPr="003145D0" w:rsidRDefault="00F67F2C" w:rsidP="00082CAE">
            <w:pPr>
              <w:rPr>
                <w:rFonts w:cs="Arial"/>
              </w:rPr>
            </w:pPr>
          </w:p>
        </w:tc>
      </w:tr>
      <w:tr w:rsidR="00E06D31" w:rsidRPr="003145D0" w:rsidTr="00CD71DE">
        <w:tc>
          <w:tcPr>
            <w:tcW w:w="10207" w:type="dxa"/>
            <w:gridSpan w:val="5"/>
          </w:tcPr>
          <w:p w:rsidR="004C77EC" w:rsidRDefault="00E06D31" w:rsidP="003145D0">
            <w:pPr>
              <w:rPr>
                <w:rFonts w:cs="Arial"/>
                <w:b/>
              </w:rPr>
            </w:pPr>
            <w:r w:rsidRPr="003145D0">
              <w:rPr>
                <w:rFonts w:cs="Arial"/>
                <w:b/>
              </w:rPr>
              <w:lastRenderedPageBreak/>
              <w:t xml:space="preserve">Recommendations </w:t>
            </w:r>
          </w:p>
          <w:p w:rsidR="00364194" w:rsidRPr="001460BE" w:rsidRDefault="00364194" w:rsidP="00364194">
            <w:pPr>
              <w:rPr>
                <w:rFonts w:cs="Arial"/>
              </w:rPr>
            </w:pPr>
          </w:p>
          <w:p w:rsidR="00E06D31" w:rsidRPr="00364194" w:rsidRDefault="00E97BCE" w:rsidP="00E97BCE">
            <w:pPr>
              <w:rPr>
                <w:rFonts w:cs="Arial"/>
                <w:b/>
              </w:rPr>
            </w:pPr>
            <w:r>
              <w:rPr>
                <w:rFonts w:cs="Arial"/>
              </w:rPr>
              <w:t>The Oversight</w:t>
            </w:r>
            <w:r w:rsidR="002E6C27">
              <w:rPr>
                <w:rFonts w:cs="Arial"/>
              </w:rPr>
              <w:t xml:space="preserve"> and Scrutiny Committee </w:t>
            </w:r>
            <w:r w:rsidR="009351FC">
              <w:rPr>
                <w:rFonts w:cs="Arial"/>
              </w:rPr>
              <w:t xml:space="preserve">is asked to note the CQC inspection </w:t>
            </w:r>
            <w:r w:rsidR="009351FC" w:rsidRPr="009351FC">
              <w:rPr>
                <w:rFonts w:cs="Arial"/>
              </w:rPr>
              <w:t>outcomes</w:t>
            </w:r>
            <w:r w:rsidR="0013209C">
              <w:rPr>
                <w:rFonts w:cs="Arial"/>
              </w:rPr>
              <w:t>, action being undertaken</w:t>
            </w:r>
            <w:r w:rsidR="009351FC" w:rsidRPr="009351FC">
              <w:rPr>
                <w:rFonts w:cs="Arial"/>
              </w:rPr>
              <w:t xml:space="preserve"> and next steps</w:t>
            </w:r>
          </w:p>
        </w:tc>
      </w:tr>
    </w:tbl>
    <w:p w:rsidR="00183DB1" w:rsidRPr="00285A64" w:rsidRDefault="00183DB1" w:rsidP="00E97BCE">
      <w:pPr>
        <w:rPr>
          <w:rFonts w:cs="Arial"/>
          <w:sz w:val="22"/>
          <w:szCs w:val="22"/>
        </w:rPr>
      </w:pPr>
    </w:p>
    <w:sectPr w:rsidR="00183DB1" w:rsidRPr="00285A64" w:rsidSect="00285A6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1" w:rsidRDefault="005C6361" w:rsidP="00987E5D">
      <w:r>
        <w:separator/>
      </w:r>
    </w:p>
  </w:endnote>
  <w:endnote w:type="continuationSeparator" w:id="0">
    <w:p w:rsidR="005C6361" w:rsidRDefault="005C6361" w:rsidP="0098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E6" w:rsidRPr="004C77EC" w:rsidRDefault="00F10AA3" w:rsidP="00BD77AC">
    <w:pPr>
      <w:pStyle w:val="Footer"/>
      <w:ind w:right="-285"/>
      <w:jc w:val="right"/>
      <w:rPr>
        <w:rFonts w:cs="Arial"/>
        <w:sz w:val="16"/>
        <w:szCs w:val="18"/>
      </w:rPr>
    </w:pPr>
    <w:r>
      <w:rPr>
        <w:rFonts w:cs="Arial"/>
        <w:sz w:val="16"/>
        <w:szCs w:val="18"/>
      </w:rPr>
      <w:t>V2 October 2016</w:t>
    </w:r>
  </w:p>
  <w:p w:rsidR="008165E6" w:rsidRDefault="00816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1" w:rsidRDefault="005C6361" w:rsidP="00987E5D">
      <w:r>
        <w:separator/>
      </w:r>
    </w:p>
  </w:footnote>
  <w:footnote w:type="continuationSeparator" w:id="0">
    <w:p w:rsidR="005C6361" w:rsidRDefault="005C6361" w:rsidP="0098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1D" w:rsidRDefault="00045D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-351790</wp:posOffset>
          </wp:positionV>
          <wp:extent cx="7492365" cy="1678940"/>
          <wp:effectExtent l="0" t="0" r="0" b="0"/>
          <wp:wrapSquare wrapText="bothSides"/>
          <wp:docPr id="6" name="Picture 6" descr="larger letter hea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rger letter head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C1D" w:rsidRDefault="00222C1D">
    <w:pPr>
      <w:pStyle w:val="Header"/>
    </w:pPr>
  </w:p>
  <w:p w:rsidR="00CD71DE" w:rsidRDefault="00CD7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31B"/>
    <w:multiLevelType w:val="hybridMultilevel"/>
    <w:tmpl w:val="470E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6541"/>
    <w:multiLevelType w:val="hybridMultilevel"/>
    <w:tmpl w:val="6E8E9C72"/>
    <w:lvl w:ilvl="0" w:tplc="60E48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62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22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CA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3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CC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0B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E1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C4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0A59DC"/>
    <w:multiLevelType w:val="hybridMultilevel"/>
    <w:tmpl w:val="149E6B88"/>
    <w:lvl w:ilvl="0" w:tplc="5616F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E91"/>
    <w:multiLevelType w:val="hybridMultilevel"/>
    <w:tmpl w:val="EF287CA2"/>
    <w:lvl w:ilvl="0" w:tplc="B5AC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A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6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8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104B8E"/>
    <w:multiLevelType w:val="hybridMultilevel"/>
    <w:tmpl w:val="ACB2A942"/>
    <w:lvl w:ilvl="0" w:tplc="E71E1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6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E2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0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961973"/>
    <w:multiLevelType w:val="hybridMultilevel"/>
    <w:tmpl w:val="0CB4C6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641"/>
    <w:multiLevelType w:val="hybridMultilevel"/>
    <w:tmpl w:val="750CADFA"/>
    <w:lvl w:ilvl="0" w:tplc="5616F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F30D6"/>
    <w:multiLevelType w:val="hybridMultilevel"/>
    <w:tmpl w:val="BCBA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85FC1"/>
    <w:multiLevelType w:val="hybridMultilevel"/>
    <w:tmpl w:val="6504D6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AF6301D"/>
    <w:multiLevelType w:val="hybridMultilevel"/>
    <w:tmpl w:val="2436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B69FC"/>
    <w:multiLevelType w:val="hybridMultilevel"/>
    <w:tmpl w:val="5BBE05FA"/>
    <w:lvl w:ilvl="0" w:tplc="A634C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6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4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C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46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9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7302C2"/>
    <w:multiLevelType w:val="hybridMultilevel"/>
    <w:tmpl w:val="D6946830"/>
    <w:lvl w:ilvl="0" w:tplc="5616F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2DF9"/>
    <w:multiLevelType w:val="hybridMultilevel"/>
    <w:tmpl w:val="DF00BC7E"/>
    <w:lvl w:ilvl="0" w:tplc="6C6ABCB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7052417"/>
    <w:multiLevelType w:val="hybridMultilevel"/>
    <w:tmpl w:val="670CA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77EFD"/>
    <w:multiLevelType w:val="hybridMultilevel"/>
    <w:tmpl w:val="06E033A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681F4B56"/>
    <w:multiLevelType w:val="hybridMultilevel"/>
    <w:tmpl w:val="D010A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24EAE"/>
    <w:multiLevelType w:val="hybridMultilevel"/>
    <w:tmpl w:val="59C43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543EE"/>
    <w:multiLevelType w:val="hybridMultilevel"/>
    <w:tmpl w:val="35E60806"/>
    <w:lvl w:ilvl="0" w:tplc="4E882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93"/>
    <w:rsid w:val="00022E3E"/>
    <w:rsid w:val="000235FF"/>
    <w:rsid w:val="00045D4C"/>
    <w:rsid w:val="00082636"/>
    <w:rsid w:val="00082CAE"/>
    <w:rsid w:val="00092150"/>
    <w:rsid w:val="0009792A"/>
    <w:rsid w:val="000B0499"/>
    <w:rsid w:val="000C3780"/>
    <w:rsid w:val="000C7D8A"/>
    <w:rsid w:val="000D636F"/>
    <w:rsid w:val="000E41F2"/>
    <w:rsid w:val="000E7A64"/>
    <w:rsid w:val="000F3422"/>
    <w:rsid w:val="00104612"/>
    <w:rsid w:val="0010596B"/>
    <w:rsid w:val="00110977"/>
    <w:rsid w:val="001119A6"/>
    <w:rsid w:val="00120940"/>
    <w:rsid w:val="0013209C"/>
    <w:rsid w:val="00135ED6"/>
    <w:rsid w:val="00135F35"/>
    <w:rsid w:val="001460BE"/>
    <w:rsid w:val="00183DB1"/>
    <w:rsid w:val="0019375A"/>
    <w:rsid w:val="001A1C6B"/>
    <w:rsid w:val="001E7A8D"/>
    <w:rsid w:val="001F3DBA"/>
    <w:rsid w:val="0021004B"/>
    <w:rsid w:val="00215F2E"/>
    <w:rsid w:val="00222C1D"/>
    <w:rsid w:val="00226B11"/>
    <w:rsid w:val="00246CF5"/>
    <w:rsid w:val="00251BBE"/>
    <w:rsid w:val="002833FE"/>
    <w:rsid w:val="00285A64"/>
    <w:rsid w:val="002D7864"/>
    <w:rsid w:val="002E5255"/>
    <w:rsid w:val="002E6C27"/>
    <w:rsid w:val="003145D0"/>
    <w:rsid w:val="00364194"/>
    <w:rsid w:val="003800D1"/>
    <w:rsid w:val="00386BF8"/>
    <w:rsid w:val="003B68C4"/>
    <w:rsid w:val="003C16B0"/>
    <w:rsid w:val="003F7A95"/>
    <w:rsid w:val="00416E2C"/>
    <w:rsid w:val="0042512C"/>
    <w:rsid w:val="00483937"/>
    <w:rsid w:val="004C77EC"/>
    <w:rsid w:val="004D59C8"/>
    <w:rsid w:val="004E02E1"/>
    <w:rsid w:val="004E4ABA"/>
    <w:rsid w:val="005023B6"/>
    <w:rsid w:val="00527F2F"/>
    <w:rsid w:val="00552F25"/>
    <w:rsid w:val="005676E7"/>
    <w:rsid w:val="0059041C"/>
    <w:rsid w:val="00596EDD"/>
    <w:rsid w:val="005A3DB0"/>
    <w:rsid w:val="005A40A4"/>
    <w:rsid w:val="005C6361"/>
    <w:rsid w:val="005E58BE"/>
    <w:rsid w:val="005E6926"/>
    <w:rsid w:val="00617627"/>
    <w:rsid w:val="00617B64"/>
    <w:rsid w:val="0063670C"/>
    <w:rsid w:val="006401B7"/>
    <w:rsid w:val="006462E6"/>
    <w:rsid w:val="0066050E"/>
    <w:rsid w:val="006A482D"/>
    <w:rsid w:val="006A6541"/>
    <w:rsid w:val="006B1A0C"/>
    <w:rsid w:val="006E07B6"/>
    <w:rsid w:val="006E7699"/>
    <w:rsid w:val="00722B34"/>
    <w:rsid w:val="0074114F"/>
    <w:rsid w:val="00750B3E"/>
    <w:rsid w:val="00781098"/>
    <w:rsid w:val="007811C9"/>
    <w:rsid w:val="00782FED"/>
    <w:rsid w:val="007D1B31"/>
    <w:rsid w:val="007D7688"/>
    <w:rsid w:val="007F13DC"/>
    <w:rsid w:val="007F168C"/>
    <w:rsid w:val="00801788"/>
    <w:rsid w:val="00815885"/>
    <w:rsid w:val="008165E6"/>
    <w:rsid w:val="008203DC"/>
    <w:rsid w:val="008252F9"/>
    <w:rsid w:val="00853E5B"/>
    <w:rsid w:val="00906726"/>
    <w:rsid w:val="00914D42"/>
    <w:rsid w:val="00920A1C"/>
    <w:rsid w:val="009351FC"/>
    <w:rsid w:val="009506C0"/>
    <w:rsid w:val="00973ACD"/>
    <w:rsid w:val="00982AF5"/>
    <w:rsid w:val="0098571A"/>
    <w:rsid w:val="00987E5D"/>
    <w:rsid w:val="009A0818"/>
    <w:rsid w:val="009A5DB0"/>
    <w:rsid w:val="009F1377"/>
    <w:rsid w:val="00A13EE0"/>
    <w:rsid w:val="00A174BB"/>
    <w:rsid w:val="00A24D38"/>
    <w:rsid w:val="00A42AE6"/>
    <w:rsid w:val="00A62C57"/>
    <w:rsid w:val="00A85094"/>
    <w:rsid w:val="00AA75F2"/>
    <w:rsid w:val="00AC5368"/>
    <w:rsid w:val="00AD2E4F"/>
    <w:rsid w:val="00B3238C"/>
    <w:rsid w:val="00B4543E"/>
    <w:rsid w:val="00B73979"/>
    <w:rsid w:val="00BC13E8"/>
    <w:rsid w:val="00BD62B4"/>
    <w:rsid w:val="00BD77AC"/>
    <w:rsid w:val="00BE618D"/>
    <w:rsid w:val="00BF54BC"/>
    <w:rsid w:val="00C25490"/>
    <w:rsid w:val="00C33C88"/>
    <w:rsid w:val="00C56F86"/>
    <w:rsid w:val="00C77D96"/>
    <w:rsid w:val="00CC254C"/>
    <w:rsid w:val="00CD11BC"/>
    <w:rsid w:val="00CD71DE"/>
    <w:rsid w:val="00CF4F40"/>
    <w:rsid w:val="00D03E56"/>
    <w:rsid w:val="00D04E22"/>
    <w:rsid w:val="00D06016"/>
    <w:rsid w:val="00D31440"/>
    <w:rsid w:val="00D608E5"/>
    <w:rsid w:val="00D73C8E"/>
    <w:rsid w:val="00D74164"/>
    <w:rsid w:val="00D96ED0"/>
    <w:rsid w:val="00DA07FA"/>
    <w:rsid w:val="00DA17D4"/>
    <w:rsid w:val="00DE7D2F"/>
    <w:rsid w:val="00E05259"/>
    <w:rsid w:val="00E06D31"/>
    <w:rsid w:val="00E206F0"/>
    <w:rsid w:val="00E436D3"/>
    <w:rsid w:val="00E4421E"/>
    <w:rsid w:val="00E57C5B"/>
    <w:rsid w:val="00E7174C"/>
    <w:rsid w:val="00E97BCE"/>
    <w:rsid w:val="00EA3063"/>
    <w:rsid w:val="00EB4ACE"/>
    <w:rsid w:val="00EB6B99"/>
    <w:rsid w:val="00ED5593"/>
    <w:rsid w:val="00EE38AD"/>
    <w:rsid w:val="00F10AA3"/>
    <w:rsid w:val="00F14453"/>
    <w:rsid w:val="00F26695"/>
    <w:rsid w:val="00F26D45"/>
    <w:rsid w:val="00F3224D"/>
    <w:rsid w:val="00F56818"/>
    <w:rsid w:val="00F67F2C"/>
    <w:rsid w:val="00F7719E"/>
    <w:rsid w:val="00F80F96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87E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E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7E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7E5D"/>
    <w:rPr>
      <w:sz w:val="24"/>
      <w:szCs w:val="24"/>
    </w:rPr>
  </w:style>
  <w:style w:type="paragraph" w:styleId="BalloonText">
    <w:name w:val="Balloon Text"/>
    <w:basedOn w:val="Normal"/>
    <w:link w:val="BalloonTextChar"/>
    <w:rsid w:val="000F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87E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E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7E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7E5D"/>
    <w:rPr>
      <w:sz w:val="24"/>
      <w:szCs w:val="24"/>
    </w:rPr>
  </w:style>
  <w:style w:type="paragraph" w:styleId="BalloonText">
    <w:name w:val="Balloon Text"/>
    <w:basedOn w:val="Normal"/>
    <w:link w:val="BalloonTextChar"/>
    <w:rsid w:val="000F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6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3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1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3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F6AE-809F-4668-80EF-5744E92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West Hospitals NHS Trust</vt:lpstr>
    </vt:vector>
  </TitlesOfParts>
  <Company>NWLH NHS Trust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West Hospitals NHS Trust</dc:title>
  <dc:creator>elizabethj</dc:creator>
  <cp:lastModifiedBy>Daksha Ghelani</cp:lastModifiedBy>
  <cp:revision>2</cp:revision>
  <cp:lastPrinted>2015-06-02T11:02:00Z</cp:lastPrinted>
  <dcterms:created xsi:type="dcterms:W3CDTF">2018-10-05T09:25:00Z</dcterms:created>
  <dcterms:modified xsi:type="dcterms:W3CDTF">2018-10-05T09:25:00Z</dcterms:modified>
</cp:coreProperties>
</file>